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27.08.2014 N 1141</w:t>
              <w:br/>
              <w:t xml:space="preserve">"Об утверждении федерального государственного образовательного стандарта высшего образования по специальности 32.08.14 Бактериология (уровень подготовки кадров высшей квалификации)"</w:t>
              <w:br/>
              <w:t xml:space="preserve">(Зарегистрировано в Минюсте России 28.10.2014 N 34493)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28.04.2025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28 октября 2014 г. N 34493</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ОБРАЗОВАНИЯ И НАУКИ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27 августа 2014 г. N 1141</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ВЫСШЕГО ОБРАЗОВАНИЯ ПО СПЕЦИАЛЬНОСТИ 32.08.14 БАКТЕРИОЛОГИЯ</w:t>
      </w:r>
    </w:p>
    <w:p>
      <w:pPr>
        <w:pStyle w:val="2"/>
        <w:jc w:val="center"/>
      </w:pPr>
      <w:r>
        <w:rPr>
          <w:sz w:val="24"/>
        </w:rPr>
        <w:t xml:space="preserve">(УРОВЕНЬ ПОДГОТОВКИ КАДРОВ ВЫСШЕЙ КВАЛИФИКАЦИИ)</w:t>
      </w:r>
    </w:p>
    <w:p>
      <w:pPr>
        <w:pStyle w:val="0"/>
        <w:jc w:val="both"/>
      </w:pPr>
      <w:r>
        <w:rPr>
          <w:sz w:val="24"/>
        </w:rPr>
      </w:r>
    </w:p>
    <w:p>
      <w:pPr>
        <w:pStyle w:val="0"/>
        <w:ind w:firstLine="540"/>
        <w:jc w:val="both"/>
      </w:pPr>
      <w:r>
        <w:rPr>
          <w:sz w:val="24"/>
        </w:rPr>
        <w:t xml:space="preserve">В соответствии с </w:t>
      </w:r>
      <w:r>
        <w:rPr>
          <w:sz w:val="24"/>
        </w:rPr>
        <w:t xml:space="preserve">подпунктом 5.2.42</w:t>
      </w:r>
      <w:r>
        <w:rPr>
          <w:sz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и </w:t>
      </w:r>
      <w:hyperlink w:history="0" r:id="rId7"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4"/>
            <w:color w:val="0000ff"/>
          </w:rPr>
          <w:t xml:space="preserve">пунктом 17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приказываю:</w:t>
      </w:r>
    </w:p>
    <w:p>
      <w:pPr>
        <w:pStyle w:val="0"/>
        <w:spacing w:before="240" w:line-rule="auto"/>
        <w:ind w:firstLine="540"/>
        <w:jc w:val="both"/>
      </w:pPr>
      <w:r>
        <w:rPr>
          <w:sz w:val="24"/>
        </w:rPr>
        <w:t xml:space="preserve">Утвердить прилагаемый федеральный государственный образовательный </w:t>
      </w:r>
      <w:hyperlink w:history="0" w:anchor="P31" w:tooltip="ФЕДЕРАЛЬНЫЙ ГОСУДАРСТВЕННЫЙ ОБРАЗОВАТЕЛЬНЫЙ СТАНДАРТ">
        <w:r>
          <w:rPr>
            <w:sz w:val="24"/>
            <w:color w:val="0000ff"/>
          </w:rPr>
          <w:t xml:space="preserve">стандарт</w:t>
        </w:r>
      </w:hyperlink>
      <w:r>
        <w:rPr>
          <w:sz w:val="24"/>
        </w:rPr>
        <w:t xml:space="preserve"> высшего образования по специальности 32.08.14 Бактериология (уровень подготовки кадров высшей квалификации).</w:t>
      </w:r>
    </w:p>
    <w:p>
      <w:pPr>
        <w:pStyle w:val="0"/>
        <w:jc w:val="both"/>
      </w:pPr>
      <w:r>
        <w:rPr>
          <w:sz w:val="24"/>
        </w:rPr>
      </w:r>
    </w:p>
    <w:p>
      <w:pPr>
        <w:pStyle w:val="0"/>
        <w:jc w:val="right"/>
      </w:pPr>
      <w:r>
        <w:rPr>
          <w:sz w:val="24"/>
        </w:rPr>
        <w:t xml:space="preserve">Министр</w:t>
      </w:r>
    </w:p>
    <w:p>
      <w:pPr>
        <w:pStyle w:val="0"/>
        <w:jc w:val="right"/>
      </w:pPr>
      <w:r>
        <w:rPr>
          <w:sz w:val="24"/>
        </w:rPr>
        <w:t xml:space="preserve">Д.В.ЛИВАНОВ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приказом Министерства образования</w:t>
      </w:r>
    </w:p>
    <w:p>
      <w:pPr>
        <w:pStyle w:val="0"/>
        <w:jc w:val="right"/>
      </w:pPr>
      <w:r>
        <w:rPr>
          <w:sz w:val="24"/>
        </w:rPr>
        <w:t xml:space="preserve">и науки Российской Федерации</w:t>
      </w:r>
    </w:p>
    <w:p>
      <w:pPr>
        <w:pStyle w:val="0"/>
        <w:jc w:val="right"/>
      </w:pPr>
      <w:r>
        <w:rPr>
          <w:sz w:val="24"/>
        </w:rPr>
        <w:t xml:space="preserve">от 27 августа 2014 г. N 1141</w:t>
      </w:r>
    </w:p>
    <w:p>
      <w:pPr>
        <w:pStyle w:val="0"/>
        <w:jc w:val="both"/>
      </w:pPr>
      <w:r>
        <w:rPr>
          <w:sz w:val="24"/>
        </w:rPr>
      </w:r>
    </w:p>
    <w:bookmarkStart w:id="31" w:name="P31"/>
    <w:bookmarkEnd w:id="31"/>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ВЫСШЕГО ОБРАЗОВАНИЯ</w:t>
      </w:r>
    </w:p>
    <w:p>
      <w:pPr>
        <w:pStyle w:val="2"/>
        <w:jc w:val="center"/>
      </w:pPr>
      <w:r>
        <w:rPr>
          <w:sz w:val="24"/>
        </w:rPr>
      </w:r>
    </w:p>
    <w:p>
      <w:pPr>
        <w:pStyle w:val="2"/>
        <w:jc w:val="center"/>
      </w:pPr>
      <w:r>
        <w:rPr>
          <w:sz w:val="24"/>
        </w:rPr>
        <w:t xml:space="preserve">УРОВЕНЬ ВЫСШЕГО ОБРАЗОВАНИЯ</w:t>
      </w:r>
    </w:p>
    <w:p>
      <w:pPr>
        <w:pStyle w:val="2"/>
        <w:jc w:val="center"/>
      </w:pPr>
      <w:r>
        <w:rPr>
          <w:sz w:val="24"/>
        </w:rPr>
        <w:t xml:space="preserve">ПОДГОТОВКА КАДРОВ ВЫСШЕЙ КВАЛИФИКАЦИИ</w:t>
      </w:r>
    </w:p>
    <w:p>
      <w:pPr>
        <w:pStyle w:val="2"/>
        <w:jc w:val="center"/>
      </w:pPr>
      <w:r>
        <w:rPr>
          <w:sz w:val="24"/>
        </w:rPr>
      </w:r>
    </w:p>
    <w:p>
      <w:pPr>
        <w:pStyle w:val="2"/>
        <w:jc w:val="center"/>
      </w:pPr>
      <w:r>
        <w:rPr>
          <w:sz w:val="24"/>
        </w:rPr>
        <w:t xml:space="preserve">СПЕЦИАЛЬНОСТЬ</w:t>
      </w:r>
    </w:p>
    <w:p>
      <w:pPr>
        <w:pStyle w:val="2"/>
        <w:jc w:val="center"/>
      </w:pPr>
      <w:r>
        <w:rPr>
          <w:sz w:val="24"/>
        </w:rPr>
        <w:t xml:space="preserve">32.08.14 БАКТЕРИОЛОГИЯ</w:t>
      </w:r>
    </w:p>
    <w:p>
      <w:pPr>
        <w:pStyle w:val="0"/>
        <w:jc w:val="both"/>
      </w:pPr>
      <w:r>
        <w:rPr>
          <w:sz w:val="24"/>
        </w:rPr>
      </w:r>
    </w:p>
    <w:p>
      <w:pPr>
        <w:pStyle w:val="0"/>
        <w:outlineLvl w:val="1"/>
        <w:jc w:val="center"/>
      </w:pPr>
      <w:r>
        <w:rPr>
          <w:sz w:val="24"/>
        </w:rPr>
        <w:t xml:space="preserve">I. ОБЛАСТЬ ПРИМЕНЕНИЯ</w:t>
      </w:r>
    </w:p>
    <w:p>
      <w:pPr>
        <w:pStyle w:val="0"/>
        <w:jc w:val="both"/>
      </w:pPr>
      <w:r>
        <w:rPr>
          <w:sz w:val="24"/>
        </w:rPr>
      </w:r>
    </w:p>
    <w:p>
      <w:pPr>
        <w:pStyle w:val="0"/>
        <w:ind w:firstLine="540"/>
        <w:jc w:val="both"/>
      </w:pPr>
      <w:r>
        <w:rPr>
          <w:sz w:val="24"/>
        </w:rPr>
        <w:t xml:space="preserve">Настоящий федеральный государственный образовательный стандарт высшего образования представляет собой совокупность требований, обязательных при реализации основных профессиональных образовательных программ высшего образования - программ подготовки кадров высшей квалификации в ординатуре по специальности 32.08.14 Бактериология (далее соответственно - программа ординатуры, специальность).</w:t>
      </w:r>
    </w:p>
    <w:p>
      <w:pPr>
        <w:pStyle w:val="0"/>
        <w:jc w:val="both"/>
      </w:pPr>
      <w:r>
        <w:rPr>
          <w:sz w:val="24"/>
        </w:rPr>
      </w:r>
    </w:p>
    <w:p>
      <w:pPr>
        <w:pStyle w:val="0"/>
        <w:outlineLvl w:val="1"/>
        <w:jc w:val="center"/>
      </w:pPr>
      <w:r>
        <w:rPr>
          <w:sz w:val="24"/>
        </w:rPr>
        <w:t xml:space="preserve">II. ИСПОЛЬЗУЕМЫЕ СОКРАЩЕНИЯ</w:t>
      </w:r>
    </w:p>
    <w:p>
      <w:pPr>
        <w:pStyle w:val="0"/>
        <w:jc w:val="both"/>
      </w:pPr>
      <w:r>
        <w:rPr>
          <w:sz w:val="24"/>
        </w:rPr>
      </w:r>
    </w:p>
    <w:p>
      <w:pPr>
        <w:pStyle w:val="0"/>
        <w:ind w:firstLine="540"/>
        <w:jc w:val="both"/>
      </w:pPr>
      <w:r>
        <w:rPr>
          <w:sz w:val="24"/>
        </w:rPr>
        <w:t xml:space="preserve">В настоящем федеральном государственном образовательном стандарте используются следующие сокращения: УК - универсальные компетенции; ПК - профессиональные компетенции;</w:t>
      </w:r>
    </w:p>
    <w:p>
      <w:pPr>
        <w:pStyle w:val="0"/>
        <w:spacing w:before="240" w:line-rule="auto"/>
        <w:ind w:firstLine="540"/>
        <w:jc w:val="both"/>
      </w:pPr>
      <w:r>
        <w:rPr>
          <w:sz w:val="24"/>
        </w:rPr>
        <w:t xml:space="preserve">ФГОС ВО - федеральный государственный образовательный стандарт высшего образования;</w:t>
      </w:r>
    </w:p>
    <w:p>
      <w:pPr>
        <w:pStyle w:val="0"/>
        <w:spacing w:before="240" w:line-rule="auto"/>
        <w:ind w:firstLine="540"/>
        <w:jc w:val="both"/>
      </w:pPr>
      <w:r>
        <w:rPr>
          <w:sz w:val="24"/>
        </w:rPr>
        <w:t xml:space="preserve">сетевая форма - сетевая форма реализации образовательных программ.</w:t>
      </w:r>
    </w:p>
    <w:p>
      <w:pPr>
        <w:pStyle w:val="0"/>
        <w:jc w:val="both"/>
      </w:pPr>
      <w:r>
        <w:rPr>
          <w:sz w:val="24"/>
        </w:rPr>
      </w:r>
    </w:p>
    <w:p>
      <w:pPr>
        <w:pStyle w:val="0"/>
        <w:outlineLvl w:val="1"/>
        <w:jc w:val="center"/>
      </w:pPr>
      <w:r>
        <w:rPr>
          <w:sz w:val="24"/>
        </w:rPr>
        <w:t xml:space="preserve">III. ХАРАКТЕРИСТИКА СПЕЦИАЛЬНОСТИ</w:t>
      </w:r>
    </w:p>
    <w:p>
      <w:pPr>
        <w:pStyle w:val="0"/>
        <w:jc w:val="both"/>
      </w:pPr>
      <w:r>
        <w:rPr>
          <w:sz w:val="24"/>
        </w:rPr>
      </w:r>
    </w:p>
    <w:p>
      <w:pPr>
        <w:pStyle w:val="0"/>
        <w:ind w:firstLine="540"/>
        <w:jc w:val="both"/>
      </w:pPr>
      <w:r>
        <w:rPr>
          <w:sz w:val="24"/>
        </w:rPr>
        <w:t xml:space="preserve">3.1. Получение образования по программе ординатуры допускается только в организациях, осуществляющих образовательную деятельность (далее - организация).</w:t>
      </w:r>
    </w:p>
    <w:p>
      <w:pPr>
        <w:pStyle w:val="0"/>
        <w:spacing w:before="240" w:line-rule="auto"/>
        <w:ind w:firstLine="540"/>
        <w:jc w:val="both"/>
      </w:pPr>
      <w:r>
        <w:rPr>
          <w:sz w:val="24"/>
        </w:rPr>
        <w:t xml:space="preserve">3.2. Обучение по программе ординатуры в организациях осуществляется в очной форме обучения.</w:t>
      </w:r>
    </w:p>
    <w:p>
      <w:pPr>
        <w:pStyle w:val="0"/>
        <w:spacing w:before="240" w:line-rule="auto"/>
        <w:ind w:firstLine="540"/>
        <w:jc w:val="both"/>
      </w:pPr>
      <w:r>
        <w:rPr>
          <w:sz w:val="24"/>
        </w:rPr>
        <w:t xml:space="preserve">Объем программы ординатуры составляет 120 зачетных единиц (далее - з.е.),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 в том числе ускоренному обучению.</w:t>
      </w:r>
    </w:p>
    <w:p>
      <w:pPr>
        <w:pStyle w:val="0"/>
        <w:spacing w:before="240" w:line-rule="auto"/>
        <w:ind w:firstLine="540"/>
        <w:jc w:val="both"/>
      </w:pPr>
      <w:r>
        <w:rPr>
          <w:sz w:val="24"/>
        </w:rPr>
        <w:t xml:space="preserve">3.3. Срок получения образования по программе ординатуры:</w:t>
      </w:r>
    </w:p>
    <w:p>
      <w:pPr>
        <w:pStyle w:val="0"/>
        <w:spacing w:before="240" w:line-rule="auto"/>
        <w:ind w:firstLine="540"/>
        <w:jc w:val="both"/>
      </w:pPr>
      <w:r>
        <w:rPr>
          <w:sz w:val="24"/>
        </w:rPr>
        <w:t xml:space="preserve">в очной форме, включая каникулы, предоставляемые после прохождения государственной итоговой аттестации, вне зависимости от применяемых образовательных технологий, составляет 2 года. Объем программы ординатуры в очной форме обучения, реализуемый за один учебный год, составляет 60 з.е.;</w:t>
      </w:r>
    </w:p>
    <w:p>
      <w:pPr>
        <w:pStyle w:val="0"/>
        <w:spacing w:before="240" w:line-rule="auto"/>
        <w:ind w:firstLine="540"/>
        <w:jc w:val="both"/>
      </w:pPr>
      <w:r>
        <w:rPr>
          <w:sz w:val="24"/>
        </w:rPr>
        <w:t xml:space="preserve">при обучении по индивидуальному учебному плану срок устанавливается организацией самостоятельно, но не более срока получения образования, установленного для соответствующей формы обучения, при обучении по индивидуальному учебному плану лиц с ограниченными возможностями здоровья организация вправе продлить срок не более чем на один год по сравнению со сроком, установленным для соответствующей формы обучения. Объем программы ординатуры за один учебный год при обучении по индивидуальному учебному плану не может составлять более 75 з.е.</w:t>
      </w:r>
    </w:p>
    <w:p>
      <w:pPr>
        <w:pStyle w:val="0"/>
        <w:spacing w:before="240" w:line-rule="auto"/>
        <w:ind w:firstLine="540"/>
        <w:jc w:val="both"/>
      </w:pPr>
      <w:r>
        <w:rPr>
          <w:sz w:val="24"/>
        </w:rPr>
        <w:t xml:space="preserve">3.4. Организация вправе применять электронное обучение и дистанционные образовательные технологии при реализации программы ординатуры, за исключением практической подготовки обучающихся, осуществляемой в соответствии с </w:t>
      </w:r>
      <w:hyperlink w:history="0" r:id="rId8" w:tooltip="Приказ Минздрава России от 03.09.2013 N 620н &quot;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quot; (Зарегистрировано в Минюсте России 01.11.2013 N 30304) {КонсультантПлюс}">
        <w:r>
          <w:rPr>
            <w:sz w:val="24"/>
            <w:color w:val="0000ff"/>
          </w:rPr>
          <w:t xml:space="preserve">Порядком</w:t>
        </w:r>
      </w:hyperlink>
      <w:r>
        <w:rPr>
          <w:sz w:val="24"/>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утвержденным приказом Министерства здравоохранения Российской Федерации от 3 сентября 2013 г. N 620н (зарегистрирован Министерством юстиции Российской Федерации 1 ноября 2013 г., регистрационный N 30304), а также государственной итоговой аттестации.</w:t>
      </w:r>
    </w:p>
    <w:p>
      <w:pPr>
        <w:pStyle w:val="0"/>
        <w:spacing w:before="240" w:line-rule="auto"/>
        <w:ind w:firstLine="540"/>
        <w:jc w:val="both"/>
      </w:pPr>
      <w:r>
        <w:rPr>
          <w:sz w:val="24"/>
        </w:rPr>
        <w:t xml:space="preserve">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3.5. Реализация программы ординатуры возможна с использованием сетевой формы.</w:t>
      </w:r>
    </w:p>
    <w:p>
      <w:pPr>
        <w:pStyle w:val="0"/>
        <w:spacing w:before="240" w:line-rule="auto"/>
        <w:ind w:firstLine="540"/>
        <w:jc w:val="both"/>
      </w:pPr>
      <w:r>
        <w:rPr>
          <w:sz w:val="24"/>
        </w:rPr>
        <w:t xml:space="preserve">3.6. Образовательная деятельность по программе ординатуры осуществляется на государственном языке Российской Федерации, если иное не определено локальным нормативным актом организации.</w:t>
      </w:r>
    </w:p>
    <w:p>
      <w:pPr>
        <w:pStyle w:val="0"/>
        <w:jc w:val="both"/>
      </w:pPr>
      <w:r>
        <w:rPr>
          <w:sz w:val="24"/>
        </w:rPr>
      </w:r>
    </w:p>
    <w:p>
      <w:pPr>
        <w:pStyle w:val="0"/>
        <w:outlineLvl w:val="1"/>
        <w:jc w:val="center"/>
      </w:pPr>
      <w:r>
        <w:rPr>
          <w:sz w:val="24"/>
        </w:rPr>
        <w:t xml:space="preserve">IV. ХАРАКТЕРИСТИКА ПРОФЕССИОНАЛЬНОЙ ДЕЯТЕЛЬНОСТИ</w:t>
      </w:r>
    </w:p>
    <w:p>
      <w:pPr>
        <w:pStyle w:val="0"/>
        <w:jc w:val="center"/>
      </w:pPr>
      <w:r>
        <w:rPr>
          <w:sz w:val="24"/>
        </w:rPr>
        <w:t xml:space="preserve">ВЫПУСКНИКОВ, ОСВОИВШИХ ПРОГРАММУ ОРДИНАТУРЫ</w:t>
      </w:r>
    </w:p>
    <w:p>
      <w:pPr>
        <w:pStyle w:val="0"/>
        <w:jc w:val="both"/>
      </w:pPr>
      <w:r>
        <w:rPr>
          <w:sz w:val="24"/>
        </w:rPr>
      </w:r>
    </w:p>
    <w:p>
      <w:pPr>
        <w:pStyle w:val="0"/>
        <w:ind w:firstLine="540"/>
        <w:jc w:val="both"/>
      </w:pPr>
      <w:r>
        <w:rPr>
          <w:sz w:val="24"/>
        </w:rPr>
        <w:t xml:space="preserve">4.1. Область профессиональной деятельности выпускников, освоивших программу ординатуры, включает охрану здоровья граждан в части обеспечения мер санитарно-эпидемиологического (профилактического) характера, направленных на санитарно-эпидемиологическое благополучие населения.</w:t>
      </w:r>
    </w:p>
    <w:p>
      <w:pPr>
        <w:pStyle w:val="0"/>
        <w:spacing w:before="240" w:line-rule="auto"/>
        <w:ind w:firstLine="540"/>
        <w:jc w:val="both"/>
      </w:pPr>
      <w:r>
        <w:rPr>
          <w:sz w:val="24"/>
        </w:rPr>
        <w:t xml:space="preserve">4.2. Объектами профессиональной деятельности выпускников, освоивших программу ординатуры, являются:</w:t>
      </w:r>
    </w:p>
    <w:p>
      <w:pPr>
        <w:pStyle w:val="0"/>
        <w:spacing w:before="240" w:line-rule="auto"/>
        <w:ind w:firstLine="540"/>
        <w:jc w:val="both"/>
      </w:pPr>
      <w:r>
        <w:rPr>
          <w:sz w:val="24"/>
        </w:rPr>
        <w:t xml:space="preserve">физические лица (далее - человек);</w:t>
      </w:r>
    </w:p>
    <w:p>
      <w:pPr>
        <w:pStyle w:val="0"/>
        <w:spacing w:before="240" w:line-rule="auto"/>
        <w:ind w:firstLine="540"/>
        <w:jc w:val="both"/>
      </w:pPr>
      <w:r>
        <w:rPr>
          <w:sz w:val="24"/>
        </w:rPr>
        <w:t xml:space="preserve">среда обитания человека;</w:t>
      </w:r>
    </w:p>
    <w:p>
      <w:pPr>
        <w:pStyle w:val="0"/>
        <w:spacing w:before="240" w:line-rule="auto"/>
        <w:ind w:firstLine="540"/>
        <w:jc w:val="both"/>
      </w:pPr>
      <w:r>
        <w:rPr>
          <w:sz w:val="24"/>
        </w:rPr>
        <w:t xml:space="preserve">юридические лица, индивидуальные предприниматели;</w:t>
      </w:r>
    </w:p>
    <w:p>
      <w:pPr>
        <w:pStyle w:val="0"/>
        <w:spacing w:before="240" w:line-rule="auto"/>
        <w:ind w:firstLine="540"/>
        <w:jc w:val="both"/>
      </w:pPr>
      <w:r>
        <w:rPr>
          <w:sz w:val="24"/>
        </w:rPr>
        <w:t xml:space="preserve">совокупность средств и технологий, направленных на обеспечение санитарно-эпидемиологического благополучия населения, сохранение и улучшение его здоровья.</w:t>
      </w:r>
    </w:p>
    <w:p>
      <w:pPr>
        <w:pStyle w:val="0"/>
        <w:spacing w:before="240" w:line-rule="auto"/>
        <w:ind w:firstLine="540"/>
        <w:jc w:val="both"/>
      </w:pPr>
      <w:r>
        <w:rPr>
          <w:sz w:val="24"/>
        </w:rPr>
        <w:t xml:space="preserve">4.3. Виды профессиональной деятельности, к которым готовятся выпускники, освоившие программу ординатуры:</w:t>
      </w:r>
    </w:p>
    <w:p>
      <w:pPr>
        <w:pStyle w:val="0"/>
        <w:spacing w:before="240" w:line-rule="auto"/>
        <w:ind w:firstLine="540"/>
        <w:jc w:val="both"/>
      </w:pPr>
      <w:r>
        <w:rPr>
          <w:sz w:val="24"/>
        </w:rPr>
        <w:t xml:space="preserve">производственно-технологическая деятельность;</w:t>
      </w:r>
    </w:p>
    <w:p>
      <w:pPr>
        <w:pStyle w:val="0"/>
        <w:spacing w:before="240" w:line-rule="auto"/>
        <w:ind w:firstLine="540"/>
        <w:jc w:val="both"/>
      </w:pPr>
      <w:r>
        <w:rPr>
          <w:sz w:val="24"/>
        </w:rPr>
        <w:t xml:space="preserve">психолого-педагогическая;</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Программа ординатуры включает в себя все виды профессиональной деятельности, к которым готовится ординатор.</w:t>
      </w:r>
    </w:p>
    <w:p>
      <w:pPr>
        <w:pStyle w:val="0"/>
        <w:spacing w:before="240" w:line-rule="auto"/>
        <w:ind w:firstLine="540"/>
        <w:jc w:val="both"/>
      </w:pPr>
      <w:r>
        <w:rPr>
          <w:sz w:val="24"/>
        </w:rPr>
        <w:t xml:space="preserve">4.4. Выпускник, освоивший программу ординатуры, готов решать следующие профессиональные задачи:</w:t>
      </w:r>
    </w:p>
    <w:p>
      <w:pPr>
        <w:pStyle w:val="0"/>
        <w:spacing w:before="240" w:line-rule="auto"/>
        <w:ind w:firstLine="540"/>
        <w:jc w:val="both"/>
      </w:pPr>
      <w:r>
        <w:rPr>
          <w:sz w:val="24"/>
        </w:rPr>
        <w:t xml:space="preserve">производственно-технологическая деятельность:</w:t>
      </w:r>
    </w:p>
    <w:p>
      <w:pPr>
        <w:pStyle w:val="0"/>
        <w:spacing w:before="240" w:line-rule="auto"/>
        <w:ind w:firstLine="540"/>
        <w:jc w:val="both"/>
      </w:pPr>
      <w:r>
        <w:rPr>
          <w:sz w:val="24"/>
        </w:rPr>
        <w:t xml:space="preserve">осуществление бактериологических лабораторных исследований, предусмотренных для обеспечения требований санитарно-эпидемиологического благополучия населения;</w:t>
      </w:r>
    </w:p>
    <w:p>
      <w:pPr>
        <w:pStyle w:val="0"/>
        <w:spacing w:before="240" w:line-rule="auto"/>
        <w:ind w:firstLine="540"/>
        <w:jc w:val="both"/>
      </w:pPr>
      <w:r>
        <w:rPr>
          <w:sz w:val="24"/>
        </w:rPr>
        <w:t xml:space="preserve">проведение санитарно-противоэпидемических (профилактических) мероприятий, направленных на предупреждение возникновения инфекционных заболеваний и массовых неинфекционных заболеваний (отравлений);</w:t>
      </w:r>
    </w:p>
    <w:p>
      <w:pPr>
        <w:pStyle w:val="0"/>
        <w:spacing w:before="240" w:line-rule="auto"/>
        <w:ind w:firstLine="540"/>
        <w:jc w:val="both"/>
      </w:pPr>
      <w:r>
        <w:rPr>
          <w:sz w:val="24"/>
        </w:rPr>
        <w:t xml:space="preserve">проведение сбора и медико-статистического анализа информации о состоянии санитарно-эпидемиологической обстановки;</w:t>
      </w:r>
    </w:p>
    <w:p>
      <w:pPr>
        <w:pStyle w:val="0"/>
        <w:spacing w:before="240" w:line-rule="auto"/>
        <w:ind w:firstLine="540"/>
        <w:jc w:val="both"/>
      </w:pPr>
      <w:r>
        <w:rPr>
          <w:sz w:val="24"/>
        </w:rPr>
        <w:t xml:space="preserve">оценка состояния здоровья населения;</w:t>
      </w:r>
    </w:p>
    <w:p>
      <w:pPr>
        <w:pStyle w:val="0"/>
        <w:spacing w:before="240" w:line-rule="auto"/>
        <w:ind w:firstLine="540"/>
        <w:jc w:val="both"/>
      </w:pPr>
      <w:r>
        <w:rPr>
          <w:sz w:val="24"/>
        </w:rPr>
        <w:t xml:space="preserve">оценка состояния среды обитания человека;</w:t>
      </w:r>
    </w:p>
    <w:p>
      <w:pPr>
        <w:pStyle w:val="0"/>
        <w:spacing w:before="240" w:line-rule="auto"/>
        <w:ind w:firstLine="540"/>
        <w:jc w:val="both"/>
      </w:pPr>
      <w:r>
        <w:rPr>
          <w:sz w:val="24"/>
        </w:rPr>
        <w:t xml:space="preserve">проведение диагностических исследований различных групп населения, предусмотренных законодательством в сфере санитарно-эпидемиологического благополучия для обеспечения безопасной среды обитания человека;</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гигиеническое воспитание и пропаганда здорового образа жизни;</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организация санитарно-противоэпидемических (профилактических) мероприятий, в том числе в условиях чрезвычайных ситуаций;</w:t>
      </w:r>
    </w:p>
    <w:p>
      <w:pPr>
        <w:pStyle w:val="0"/>
        <w:spacing w:before="240" w:line-rule="auto"/>
        <w:ind w:firstLine="540"/>
        <w:jc w:val="both"/>
      </w:pPr>
      <w:r>
        <w:rPr>
          <w:sz w:val="24"/>
        </w:rPr>
        <w:t xml:space="preserve">организация труда персонала в организациях и их структурных подразделениях, осуществляющих свою деятельность в целях обеспечения санитарно-эпидемиологического благополучия населения с учетом требований техники безопасности и охраны труда;</w:t>
      </w:r>
    </w:p>
    <w:p>
      <w:pPr>
        <w:pStyle w:val="0"/>
        <w:spacing w:before="240" w:line-rule="auto"/>
        <w:ind w:firstLine="540"/>
        <w:jc w:val="both"/>
      </w:pPr>
      <w:r>
        <w:rPr>
          <w:sz w:val="24"/>
        </w:rPr>
        <w:t xml:space="preserve">ведение документации, предусмотренной для обеспечения санитарно-эпидемиологического благополучия населения;</w:t>
      </w:r>
    </w:p>
    <w:p>
      <w:pPr>
        <w:pStyle w:val="0"/>
        <w:spacing w:before="240" w:line-rule="auto"/>
        <w:ind w:firstLine="540"/>
        <w:jc w:val="both"/>
      </w:pPr>
      <w:r>
        <w:rPr>
          <w:sz w:val="24"/>
        </w:rPr>
        <w:t xml:space="preserve">соблюдение основных требований информационной безопасности.</w:t>
      </w:r>
    </w:p>
    <w:p>
      <w:pPr>
        <w:pStyle w:val="0"/>
        <w:jc w:val="both"/>
      </w:pPr>
      <w:r>
        <w:rPr>
          <w:sz w:val="24"/>
        </w:rPr>
      </w:r>
    </w:p>
    <w:p>
      <w:pPr>
        <w:pStyle w:val="0"/>
        <w:outlineLvl w:val="1"/>
        <w:jc w:val="center"/>
      </w:pPr>
      <w:r>
        <w:rPr>
          <w:sz w:val="24"/>
        </w:rPr>
        <w:t xml:space="preserve">V. ТРЕБОВАНИЯ К РЕЗУЛЬТАТАМ ОСВОЕНИЯ ПРОГРАММЫ ОРДИНАТУРЫ</w:t>
      </w:r>
    </w:p>
    <w:p>
      <w:pPr>
        <w:pStyle w:val="0"/>
        <w:jc w:val="both"/>
      </w:pPr>
      <w:r>
        <w:rPr>
          <w:sz w:val="24"/>
        </w:rPr>
      </w:r>
    </w:p>
    <w:p>
      <w:pPr>
        <w:pStyle w:val="0"/>
        <w:ind w:firstLine="540"/>
        <w:jc w:val="both"/>
      </w:pPr>
      <w:r>
        <w:rPr>
          <w:sz w:val="24"/>
        </w:rPr>
        <w:t xml:space="preserve">5.1. В результате освоения программы ординатуры у выпускника должны быть сформированы универсальные и профессиональные компетенции.</w:t>
      </w:r>
    </w:p>
    <w:p>
      <w:pPr>
        <w:pStyle w:val="0"/>
        <w:spacing w:before="240" w:line-rule="auto"/>
        <w:ind w:firstLine="540"/>
        <w:jc w:val="both"/>
      </w:pPr>
      <w:r>
        <w:rPr>
          <w:sz w:val="24"/>
        </w:rPr>
        <w:t xml:space="preserve">5.2. Выпускник, освоивший программу ординатуры, должен обладать следующими универсальными компетенциями:</w:t>
      </w:r>
    </w:p>
    <w:p>
      <w:pPr>
        <w:pStyle w:val="0"/>
        <w:spacing w:before="240" w:line-rule="auto"/>
        <w:ind w:firstLine="540"/>
        <w:jc w:val="both"/>
      </w:pPr>
      <w:r>
        <w:rPr>
          <w:sz w:val="24"/>
        </w:rPr>
        <w:t xml:space="preserve">готовностью к абстрактному мышлению, анализу, синтезу (УК-1);</w:t>
      </w:r>
    </w:p>
    <w:p>
      <w:pPr>
        <w:pStyle w:val="0"/>
        <w:spacing w:before="240" w:line-rule="auto"/>
        <w:ind w:firstLine="540"/>
        <w:jc w:val="both"/>
      </w:pPr>
      <w:r>
        <w:rPr>
          <w:sz w:val="24"/>
        </w:rPr>
        <w:t xml:space="preserve">готовностью к управлению коллективом, толерантно воспринимать социальные, этнические, конфессиональные и культурные различия (УК-2);</w:t>
      </w:r>
    </w:p>
    <w:p>
      <w:pPr>
        <w:pStyle w:val="0"/>
        <w:spacing w:before="240" w:line-rule="auto"/>
        <w:ind w:firstLine="540"/>
        <w:jc w:val="both"/>
      </w:pPr>
      <w:r>
        <w:rPr>
          <w:sz w:val="24"/>
        </w:rPr>
        <w:t xml:space="preserve">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(УК-3)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9"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Части 13</w:t>
        </w:r>
      </w:hyperlink>
      <w:r>
        <w:rPr>
          <w:sz w:val="24"/>
        </w:rPr>
        <w:t xml:space="preserve"> и </w:t>
      </w:r>
      <w:hyperlink w:history="0" r:id="rId10"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14 статьи 82</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4263).</w:t>
      </w:r>
    </w:p>
    <w:p>
      <w:pPr>
        <w:pStyle w:val="0"/>
        <w:jc w:val="both"/>
      </w:pPr>
      <w:r>
        <w:rPr>
          <w:sz w:val="24"/>
        </w:rPr>
      </w:r>
    </w:p>
    <w:p>
      <w:pPr>
        <w:pStyle w:val="0"/>
        <w:ind w:firstLine="540"/>
        <w:jc w:val="both"/>
      </w:pPr>
      <w:r>
        <w:rPr>
          <w:sz w:val="24"/>
        </w:rPr>
        <w:t xml:space="preserve">5.3. Выпускник, освоивший программу ординатуры, должен обладать профессиональными компетенциями:</w:t>
      </w:r>
    </w:p>
    <w:p>
      <w:pPr>
        <w:pStyle w:val="0"/>
        <w:spacing w:before="240" w:line-rule="auto"/>
        <w:ind w:firstLine="540"/>
        <w:jc w:val="both"/>
      </w:pPr>
      <w:r>
        <w:rPr>
          <w:sz w:val="24"/>
        </w:rPr>
        <w:t xml:space="preserve">производственно-технологическая деятельность:</w:t>
      </w:r>
    </w:p>
    <w:p>
      <w:pPr>
        <w:pStyle w:val="0"/>
        <w:spacing w:before="240" w:line-rule="auto"/>
        <w:ind w:firstLine="540"/>
        <w:jc w:val="both"/>
      </w:pPr>
      <w:r>
        <w:rPr>
          <w:sz w:val="24"/>
        </w:rPr>
        <w:t xml:space="preserve">готовность к осуществлению комплекса санитарно-противоэпидемических (профилактических) мероприятий, направленных на предотвращение возникновения и распространения инфекционных заболеваний и массовых неинфекционных заболеваний (отравлений) и их ликвидацию, в том числе в условиях чрезвычайных ситуаций (ПК-1);</w:t>
      </w:r>
    </w:p>
    <w:p>
      <w:pPr>
        <w:pStyle w:val="0"/>
        <w:spacing w:before="240" w:line-rule="auto"/>
        <w:ind w:firstLine="540"/>
        <w:jc w:val="both"/>
      </w:pPr>
      <w:r>
        <w:rPr>
          <w:sz w:val="24"/>
        </w:rPr>
        <w:t xml:space="preserve">готовность к проведению бактериологических лабораторных исследований и интерпретации их результатов (ПК-2);</w:t>
      </w:r>
    </w:p>
    <w:p>
      <w:pPr>
        <w:pStyle w:val="0"/>
        <w:spacing w:before="240" w:line-rule="auto"/>
        <w:ind w:firstLine="540"/>
        <w:jc w:val="both"/>
      </w:pPr>
      <w:r>
        <w:rPr>
          <w:sz w:val="24"/>
        </w:rPr>
        <w:t xml:space="preserve">готовность к применению специализированного оборудования, предусмотренного для использования в профессиональной сфере (ПК-3);</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готовность к обучению населения основным гигиеническим мероприятиям оздоровительного характера, способствующим сохранению и укреплению здоровья, профилактике заболеваний (ПК-4);</w:t>
      </w:r>
    </w:p>
    <w:p>
      <w:pPr>
        <w:pStyle w:val="0"/>
        <w:spacing w:before="240" w:line-rule="auto"/>
        <w:ind w:firstLine="540"/>
        <w:jc w:val="both"/>
      </w:pPr>
      <w:r>
        <w:rPr>
          <w:sz w:val="24"/>
        </w:rPr>
        <w:t xml:space="preserve">готовность к санитарно-просветительской деятельности среди различных групп населения с целью устранения факторов риска и формирования навыков здорового образа жизни, направленных на сохранение и укрепление здоровья (ПК-5);</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готовность к использованию основ экономических и правовых знаний в профессиональной деятельности (ПК-6);</w:t>
      </w:r>
    </w:p>
    <w:p>
      <w:pPr>
        <w:pStyle w:val="0"/>
        <w:spacing w:before="240" w:line-rule="auto"/>
        <w:ind w:firstLine="540"/>
        <w:jc w:val="both"/>
      </w:pPr>
      <w:r>
        <w:rPr>
          <w:sz w:val="24"/>
        </w:rPr>
        <w:t xml:space="preserve">готовность к применению основных принципов управления в профессиональной сфере (ПК-7);</w:t>
      </w:r>
    </w:p>
    <w:p>
      <w:pPr>
        <w:pStyle w:val="0"/>
        <w:spacing w:before="240" w:line-rule="auto"/>
        <w:ind w:firstLine="540"/>
        <w:jc w:val="both"/>
      </w:pPr>
      <w:r>
        <w:rPr>
          <w:sz w:val="24"/>
        </w:rPr>
        <w:t xml:space="preserve">готовность к организации и управлению деятельностью организаций и (или) их структурных подразделений, осуществляющих свою деятельность в целях обеспечения санитарно-эпидемиологического благополучия населения (ПК-8).</w:t>
      </w:r>
    </w:p>
    <w:p>
      <w:pPr>
        <w:pStyle w:val="0"/>
        <w:spacing w:before="240" w:line-rule="auto"/>
        <w:ind w:firstLine="540"/>
        <w:jc w:val="both"/>
      </w:pPr>
      <w:r>
        <w:rPr>
          <w:sz w:val="24"/>
        </w:rPr>
        <w:t xml:space="preserve">5.4. При разработке программы ординатуры все универсальные и профессиональные компетенции включаются в набор требуемых результатов освоения программы ординатуры.</w:t>
      </w:r>
    </w:p>
    <w:p>
      <w:pPr>
        <w:pStyle w:val="0"/>
        <w:spacing w:before="240" w:line-rule="auto"/>
        <w:ind w:firstLine="540"/>
        <w:jc w:val="both"/>
      </w:pPr>
      <w:r>
        <w:rPr>
          <w:sz w:val="24"/>
        </w:rPr>
        <w:t xml:space="preserve">5.5. При разработке программы ординатуры организация вправе дополнить набор компетенций выпускников в части программы, формируемой участниками образовательных отношений.</w:t>
      </w:r>
    </w:p>
    <w:p>
      <w:pPr>
        <w:pStyle w:val="0"/>
        <w:spacing w:before="240" w:line-rule="auto"/>
        <w:ind w:firstLine="540"/>
        <w:jc w:val="both"/>
      </w:pPr>
      <w:r>
        <w:rPr>
          <w:sz w:val="24"/>
        </w:rPr>
        <w:t xml:space="preserve">5.6. При разработке программы ординатуры требования к результатам обучения по отдельным дисциплинам (модулям), практикам организация устанавливает самостоятельно с учетом требовании соответствующих примерных основных образовательных программ.</w:t>
      </w:r>
    </w:p>
    <w:p>
      <w:pPr>
        <w:pStyle w:val="0"/>
        <w:jc w:val="both"/>
      </w:pPr>
      <w:r>
        <w:rPr>
          <w:sz w:val="24"/>
        </w:rPr>
      </w:r>
    </w:p>
    <w:p>
      <w:pPr>
        <w:pStyle w:val="0"/>
        <w:outlineLvl w:val="1"/>
        <w:jc w:val="center"/>
      </w:pPr>
      <w:r>
        <w:rPr>
          <w:sz w:val="24"/>
        </w:rPr>
        <w:t xml:space="preserve">VI. ТРЕБОВАНИЯ К СТРУКТУРЕ ПРОГРАММЫ ОРДИНАТУРЫ</w:t>
      </w:r>
    </w:p>
    <w:p>
      <w:pPr>
        <w:pStyle w:val="0"/>
        <w:jc w:val="both"/>
      </w:pPr>
      <w:r>
        <w:rPr>
          <w:sz w:val="24"/>
        </w:rPr>
      </w:r>
    </w:p>
    <w:p>
      <w:pPr>
        <w:pStyle w:val="0"/>
        <w:ind w:firstLine="540"/>
        <w:jc w:val="both"/>
      </w:pPr>
      <w:r>
        <w:rPr>
          <w:sz w:val="24"/>
        </w:rPr>
        <w:t xml:space="preserve">6.1. Структура программы ординатуры включает обязательную часть (базовую) и часть, формируемую участниками образовательных отношений (вариативную).</w:t>
      </w:r>
    </w:p>
    <w:p>
      <w:pPr>
        <w:pStyle w:val="0"/>
        <w:spacing w:before="240" w:line-rule="auto"/>
        <w:ind w:firstLine="540"/>
        <w:jc w:val="both"/>
      </w:pPr>
      <w:r>
        <w:rPr>
          <w:sz w:val="24"/>
        </w:rPr>
        <w:t xml:space="preserve">6.2. Программа ординатуры состоит из следующих блоков:</w:t>
      </w:r>
    </w:p>
    <w:p>
      <w:pPr>
        <w:pStyle w:val="0"/>
        <w:spacing w:before="240" w:line-rule="auto"/>
        <w:ind w:firstLine="540"/>
        <w:jc w:val="both"/>
      </w:pPr>
      <w:hyperlink w:history="0" w:anchor="P133" w:tooltip="Блок 1">
        <w:r>
          <w:rPr>
            <w:sz w:val="24"/>
            <w:color w:val="0000ff"/>
          </w:rPr>
          <w:t xml:space="preserve">Блок 1</w:t>
        </w:r>
      </w:hyperlink>
      <w:r>
        <w:rPr>
          <w:sz w:val="24"/>
        </w:rPr>
        <w:t xml:space="preserve"> "Дисциплины (модули)", который включает дисциплины (модули), относящиеся к базовой части программы, и дисциплины (модули), относящиеся к ее вариативной части.</w:t>
      </w:r>
    </w:p>
    <w:p>
      <w:pPr>
        <w:pStyle w:val="0"/>
        <w:spacing w:before="240" w:line-rule="auto"/>
        <w:ind w:firstLine="540"/>
        <w:jc w:val="both"/>
      </w:pPr>
      <w:hyperlink w:history="0" w:anchor="P141" w:tooltip="Блок 2">
        <w:r>
          <w:rPr>
            <w:sz w:val="24"/>
            <w:color w:val="0000ff"/>
          </w:rPr>
          <w:t xml:space="preserve">Блок 2</w:t>
        </w:r>
      </w:hyperlink>
      <w:r>
        <w:rPr>
          <w:sz w:val="24"/>
        </w:rPr>
        <w:t xml:space="preserve"> "Практики", относящийся как к базовой части программы, так и к ее вариативной части.</w:t>
      </w:r>
    </w:p>
    <w:p>
      <w:pPr>
        <w:pStyle w:val="0"/>
        <w:spacing w:before="240" w:line-rule="auto"/>
        <w:ind w:firstLine="540"/>
        <w:jc w:val="both"/>
      </w:pPr>
      <w:hyperlink w:history="0" w:anchor="P148" w:tooltip="Блок 3">
        <w:r>
          <w:rPr>
            <w:sz w:val="24"/>
            <w:color w:val="0000ff"/>
          </w:rPr>
          <w:t xml:space="preserve">Блок 3</w:t>
        </w:r>
      </w:hyperlink>
      <w:r>
        <w:rPr>
          <w:sz w:val="24"/>
        </w:rPr>
        <w:t xml:space="preserve"> "Государственная итоговая аттестация", который в полном объеме относится к базовой части программы и завершается присвоением квалификации "Врач-бактериолог".</w:t>
      </w:r>
    </w:p>
    <w:p>
      <w:pPr>
        <w:pStyle w:val="0"/>
        <w:jc w:val="both"/>
      </w:pPr>
      <w:r>
        <w:rPr>
          <w:sz w:val="24"/>
        </w:rPr>
      </w:r>
    </w:p>
    <w:p>
      <w:pPr>
        <w:pStyle w:val="0"/>
        <w:outlineLvl w:val="2"/>
        <w:jc w:val="center"/>
      </w:pPr>
      <w:r>
        <w:rPr>
          <w:sz w:val="24"/>
        </w:rPr>
        <w:t xml:space="preserve">Структура программы ординатуры</w:t>
      </w:r>
    </w:p>
    <w:p>
      <w:pPr>
        <w:pStyle w:val="0"/>
        <w:jc w:val="both"/>
      </w:pPr>
      <w:r>
        <w:rPr>
          <w:sz w:val="24"/>
        </w:rPr>
      </w:r>
    </w:p>
    <w:p>
      <w:pPr>
        <w:pStyle w:val="0"/>
        <w:jc w:val="right"/>
      </w:pPr>
      <w:r>
        <w:rPr>
          <w:sz w:val="24"/>
        </w:rPr>
        <w:t xml:space="preserve">Таблица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50"/>
        <w:gridCol w:w="5452"/>
        <w:gridCol w:w="2641"/>
      </w:tblGrid>
      <w:tr>
        <w:tc>
          <w:tcPr>
            <w:gridSpan w:val="2"/>
            <w:tcW w:w="6902" w:type="dxa"/>
          </w:tcPr>
          <w:p>
            <w:pPr>
              <w:pStyle w:val="0"/>
              <w:jc w:val="center"/>
            </w:pPr>
            <w:r>
              <w:rPr>
                <w:sz w:val="24"/>
              </w:rPr>
              <w:t xml:space="preserve">Структура программы ординатуры</w:t>
            </w:r>
          </w:p>
        </w:tc>
        <w:tc>
          <w:tcPr>
            <w:tcW w:w="2641" w:type="dxa"/>
          </w:tcPr>
          <w:p>
            <w:pPr>
              <w:pStyle w:val="0"/>
              <w:jc w:val="center"/>
            </w:pPr>
            <w:r>
              <w:rPr>
                <w:sz w:val="24"/>
              </w:rPr>
              <w:t xml:space="preserve">Объем программы ординатуры в з.е.</w:t>
            </w:r>
          </w:p>
        </w:tc>
      </w:tr>
      <w:tr>
        <w:tc>
          <w:tcPr>
            <w:tcW w:w="1450" w:type="dxa"/>
          </w:tcPr>
          <w:bookmarkStart w:id="133" w:name="P133"/>
          <w:bookmarkEnd w:id="133"/>
          <w:p>
            <w:pPr>
              <w:pStyle w:val="0"/>
            </w:pPr>
            <w:r>
              <w:rPr>
                <w:sz w:val="24"/>
              </w:rPr>
              <w:t xml:space="preserve">Блок 1</w:t>
            </w:r>
          </w:p>
        </w:tc>
        <w:tc>
          <w:tcPr>
            <w:tcW w:w="5452" w:type="dxa"/>
          </w:tcPr>
          <w:p>
            <w:pPr>
              <w:pStyle w:val="0"/>
            </w:pPr>
            <w:r>
              <w:rPr>
                <w:sz w:val="24"/>
              </w:rPr>
              <w:t xml:space="preserve">Дисциплины (модули)</w:t>
            </w:r>
          </w:p>
        </w:tc>
        <w:tc>
          <w:tcPr>
            <w:tcW w:w="2641" w:type="dxa"/>
          </w:tcPr>
          <w:p>
            <w:pPr>
              <w:pStyle w:val="0"/>
              <w:jc w:val="center"/>
            </w:pPr>
            <w:r>
              <w:rPr>
                <w:sz w:val="24"/>
              </w:rPr>
              <w:t xml:space="preserve">42 - 48</w:t>
            </w:r>
          </w:p>
        </w:tc>
      </w:tr>
      <w:tr>
        <w:tc>
          <w:tcPr>
            <w:tcW w:w="1450" w:type="dxa"/>
            <w:vMerge w:val="restart"/>
          </w:tcPr>
          <w:p>
            <w:pPr>
              <w:pStyle w:val="0"/>
            </w:pPr>
            <w:r>
              <w:rPr>
                <w:sz w:val="24"/>
              </w:rPr>
            </w:r>
          </w:p>
        </w:tc>
        <w:tc>
          <w:tcPr>
            <w:tcW w:w="5452" w:type="dxa"/>
          </w:tcPr>
          <w:bookmarkStart w:id="137" w:name="P137"/>
          <w:bookmarkEnd w:id="137"/>
          <w:p>
            <w:pPr>
              <w:pStyle w:val="0"/>
            </w:pPr>
            <w:r>
              <w:rPr>
                <w:sz w:val="24"/>
              </w:rPr>
              <w:t xml:space="preserve">Базовая часть</w:t>
            </w:r>
          </w:p>
        </w:tc>
        <w:tc>
          <w:tcPr>
            <w:tcW w:w="2641" w:type="dxa"/>
          </w:tcPr>
          <w:p>
            <w:pPr>
              <w:pStyle w:val="0"/>
              <w:jc w:val="center"/>
            </w:pPr>
            <w:r>
              <w:rPr>
                <w:sz w:val="24"/>
              </w:rPr>
              <w:t xml:space="preserve">33 - 39</w:t>
            </w:r>
          </w:p>
        </w:tc>
      </w:tr>
      <w:tr>
        <w:tc>
          <w:tcPr>
            <w:vMerge w:val="continue"/>
          </w:tcPr>
          <w:p/>
        </w:tc>
        <w:tc>
          <w:tcPr>
            <w:tcW w:w="5452" w:type="dxa"/>
          </w:tcPr>
          <w:bookmarkStart w:id="139" w:name="P139"/>
          <w:bookmarkEnd w:id="139"/>
          <w:p>
            <w:pPr>
              <w:pStyle w:val="0"/>
            </w:pPr>
            <w:r>
              <w:rPr>
                <w:sz w:val="24"/>
              </w:rPr>
              <w:t xml:space="preserve">Вариативная часть</w:t>
            </w:r>
          </w:p>
        </w:tc>
        <w:tc>
          <w:tcPr>
            <w:tcW w:w="2641" w:type="dxa"/>
          </w:tcPr>
          <w:p>
            <w:pPr>
              <w:pStyle w:val="0"/>
              <w:jc w:val="center"/>
            </w:pPr>
            <w:r>
              <w:rPr>
                <w:sz w:val="24"/>
              </w:rPr>
              <w:t xml:space="preserve">6 - 12</w:t>
            </w:r>
          </w:p>
        </w:tc>
      </w:tr>
      <w:tr>
        <w:tc>
          <w:tcPr>
            <w:tcW w:w="1450" w:type="dxa"/>
            <w:vMerge w:val="restart"/>
          </w:tcPr>
          <w:bookmarkStart w:id="141" w:name="P141"/>
          <w:bookmarkEnd w:id="141"/>
          <w:p>
            <w:pPr>
              <w:pStyle w:val="0"/>
            </w:pPr>
            <w:r>
              <w:rPr>
                <w:sz w:val="24"/>
              </w:rPr>
              <w:t xml:space="preserve">Блок 2</w:t>
            </w:r>
          </w:p>
        </w:tc>
        <w:tc>
          <w:tcPr>
            <w:tcW w:w="5452" w:type="dxa"/>
          </w:tcPr>
          <w:p>
            <w:pPr>
              <w:pStyle w:val="0"/>
            </w:pPr>
            <w:r>
              <w:rPr>
                <w:sz w:val="24"/>
              </w:rPr>
              <w:t xml:space="preserve">Практики</w:t>
            </w:r>
          </w:p>
        </w:tc>
        <w:tc>
          <w:tcPr>
            <w:tcW w:w="2641" w:type="dxa"/>
          </w:tcPr>
          <w:p>
            <w:pPr>
              <w:pStyle w:val="0"/>
              <w:jc w:val="center"/>
            </w:pPr>
            <w:r>
              <w:rPr>
                <w:sz w:val="24"/>
              </w:rPr>
              <w:t xml:space="preserve">69 - 75</w:t>
            </w:r>
          </w:p>
        </w:tc>
      </w:tr>
      <w:tr>
        <w:tc>
          <w:tcPr>
            <w:vMerge w:val="continue"/>
          </w:tcPr>
          <w:p/>
        </w:tc>
        <w:tc>
          <w:tcPr>
            <w:tcW w:w="5452" w:type="dxa"/>
          </w:tcPr>
          <w:p>
            <w:pPr>
              <w:pStyle w:val="0"/>
            </w:pPr>
            <w:r>
              <w:rPr>
                <w:sz w:val="24"/>
              </w:rPr>
              <w:t xml:space="preserve">Базовая часть</w:t>
            </w:r>
          </w:p>
        </w:tc>
        <w:tc>
          <w:tcPr>
            <w:tcW w:w="2641" w:type="dxa"/>
          </w:tcPr>
          <w:p>
            <w:pPr>
              <w:pStyle w:val="0"/>
              <w:jc w:val="center"/>
            </w:pPr>
            <w:r>
              <w:rPr>
                <w:sz w:val="24"/>
              </w:rPr>
              <w:t xml:space="preserve">60 - 66</w:t>
            </w:r>
          </w:p>
        </w:tc>
      </w:tr>
      <w:tr>
        <w:tc>
          <w:tcPr>
            <w:vMerge w:val="continue"/>
          </w:tcPr>
          <w:p/>
        </w:tc>
        <w:tc>
          <w:tcPr>
            <w:tcW w:w="5452" w:type="dxa"/>
          </w:tcPr>
          <w:p>
            <w:pPr>
              <w:pStyle w:val="0"/>
            </w:pPr>
            <w:r>
              <w:rPr>
                <w:sz w:val="24"/>
              </w:rPr>
              <w:t xml:space="preserve">Вариативная часть</w:t>
            </w:r>
          </w:p>
        </w:tc>
        <w:tc>
          <w:tcPr>
            <w:tcW w:w="2641" w:type="dxa"/>
          </w:tcPr>
          <w:p>
            <w:pPr>
              <w:pStyle w:val="0"/>
              <w:jc w:val="center"/>
            </w:pPr>
            <w:r>
              <w:rPr>
                <w:sz w:val="24"/>
              </w:rPr>
              <w:t xml:space="preserve">6 - 12</w:t>
            </w:r>
          </w:p>
        </w:tc>
      </w:tr>
      <w:tr>
        <w:tc>
          <w:tcPr>
            <w:tcW w:w="1450" w:type="dxa"/>
            <w:vMerge w:val="restart"/>
          </w:tcPr>
          <w:bookmarkStart w:id="148" w:name="P148"/>
          <w:bookmarkEnd w:id="148"/>
          <w:p>
            <w:pPr>
              <w:pStyle w:val="0"/>
            </w:pPr>
            <w:r>
              <w:rPr>
                <w:sz w:val="24"/>
              </w:rPr>
              <w:t xml:space="preserve">Блок 3</w:t>
            </w:r>
          </w:p>
        </w:tc>
        <w:tc>
          <w:tcPr>
            <w:tcW w:w="5452" w:type="dxa"/>
          </w:tcPr>
          <w:p>
            <w:pPr>
              <w:pStyle w:val="0"/>
            </w:pPr>
            <w:r>
              <w:rPr>
                <w:sz w:val="24"/>
              </w:rPr>
              <w:t xml:space="preserve">Государственная итоговая аттестация</w:t>
            </w:r>
          </w:p>
        </w:tc>
        <w:tc>
          <w:tcPr>
            <w:tcW w:w="2641" w:type="dxa"/>
          </w:tcPr>
          <w:p>
            <w:pPr>
              <w:pStyle w:val="0"/>
              <w:jc w:val="center"/>
            </w:pPr>
            <w:r>
              <w:rPr>
                <w:sz w:val="24"/>
              </w:rPr>
              <w:t xml:space="preserve">3</w:t>
            </w:r>
          </w:p>
        </w:tc>
      </w:tr>
      <w:tr>
        <w:tc>
          <w:tcPr>
            <w:vMerge w:val="continue"/>
          </w:tcPr>
          <w:p/>
        </w:tc>
        <w:tc>
          <w:tcPr>
            <w:tcW w:w="5452" w:type="dxa"/>
          </w:tcPr>
          <w:p>
            <w:pPr>
              <w:pStyle w:val="0"/>
            </w:pPr>
            <w:r>
              <w:rPr>
                <w:sz w:val="24"/>
              </w:rPr>
              <w:t xml:space="preserve">Базовая часть</w:t>
            </w:r>
          </w:p>
        </w:tc>
        <w:tc>
          <w:tcPr>
            <w:tcW w:w="2641" w:type="dxa"/>
          </w:tcPr>
          <w:p>
            <w:pPr>
              <w:pStyle w:val="0"/>
              <w:jc w:val="center"/>
            </w:pPr>
            <w:r>
              <w:rPr>
                <w:sz w:val="24"/>
              </w:rPr>
              <w:t xml:space="preserve">3</w:t>
            </w:r>
          </w:p>
        </w:tc>
      </w:tr>
      <w:tr>
        <w:tc>
          <w:tcPr>
            <w:gridSpan w:val="2"/>
            <w:tcW w:w="6902" w:type="dxa"/>
          </w:tcPr>
          <w:p>
            <w:pPr>
              <w:pStyle w:val="0"/>
            </w:pPr>
            <w:r>
              <w:rPr>
                <w:sz w:val="24"/>
              </w:rPr>
              <w:t xml:space="preserve">Объем программы ординатуры</w:t>
            </w:r>
          </w:p>
        </w:tc>
        <w:tc>
          <w:tcPr>
            <w:tcW w:w="2641" w:type="dxa"/>
          </w:tcPr>
          <w:p>
            <w:pPr>
              <w:pStyle w:val="0"/>
              <w:jc w:val="center"/>
            </w:pPr>
            <w:r>
              <w:rPr>
                <w:sz w:val="24"/>
              </w:rPr>
              <w:t xml:space="preserve">120</w:t>
            </w:r>
          </w:p>
        </w:tc>
      </w:tr>
    </w:tbl>
    <w:p>
      <w:pPr>
        <w:pStyle w:val="0"/>
        <w:jc w:val="both"/>
      </w:pPr>
      <w:r>
        <w:rPr>
          <w:sz w:val="24"/>
        </w:rPr>
      </w:r>
    </w:p>
    <w:p>
      <w:pPr>
        <w:pStyle w:val="0"/>
        <w:ind w:firstLine="540"/>
        <w:jc w:val="both"/>
      </w:pPr>
      <w:r>
        <w:rPr>
          <w:sz w:val="24"/>
        </w:rPr>
        <w:t xml:space="preserve">6.3. Дисциплины (модули), относящиеся к базовой части программы ординатуры, являются обязательными для освоения обучающимся. Набор дисциплин (модулей), относящихся к базовой части программы ординатуры, организация определяет самостоятельно в объеме, установленном настоящим ФГОС ВО, с учетом соответствующей (соответствующих) примерной (примерных) основной (основных) образовательной (образовательных) программы (программ).</w:t>
      </w:r>
    </w:p>
    <w:p>
      <w:pPr>
        <w:pStyle w:val="0"/>
        <w:spacing w:before="240" w:line-rule="auto"/>
        <w:ind w:firstLine="540"/>
        <w:jc w:val="both"/>
      </w:pPr>
      <w:r>
        <w:rPr>
          <w:sz w:val="24"/>
        </w:rPr>
        <w:t xml:space="preserve">6.4. Дисциплины (модули) по общественному здоровью и здравоохранению, педагогике, гигиене и эпидемиологии чрезвычайных ситуаций, микробиологии реализуются в рамках </w:t>
      </w:r>
      <w:hyperlink w:history="0" w:anchor="P137" w:tooltip="Базовая часть">
        <w:r>
          <w:rPr>
            <w:sz w:val="24"/>
            <w:color w:val="0000ff"/>
          </w:rPr>
          <w:t xml:space="preserve">базовой части</w:t>
        </w:r>
      </w:hyperlink>
      <w:r>
        <w:rPr>
          <w:sz w:val="24"/>
        </w:rPr>
        <w:t xml:space="preserve"> Блока 1 "Дисциплины (модули)" программы ординатуры. Объем, содержание и порядок реализации указанных дисциплин (модулей) определяются организацией самостоятельно.</w:t>
      </w:r>
    </w:p>
    <w:p>
      <w:pPr>
        <w:pStyle w:val="0"/>
        <w:spacing w:before="240" w:line-rule="auto"/>
        <w:ind w:firstLine="540"/>
        <w:jc w:val="both"/>
      </w:pPr>
      <w:r>
        <w:rPr>
          <w:sz w:val="24"/>
        </w:rPr>
        <w:t xml:space="preserve">6.5. Дисциплины (модули), относящиеся к вариативной части программы ординатуры, и практики обеспечивают освоение выпускником профессиональных компетенций с учетом конкретного вида (видов) деятельности в различных медицинских организациях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1"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Приказ</w:t>
        </w:r>
      </w:hyperlink>
      <w:r>
        <w:rPr>
          <w:sz w:val="24"/>
        </w:rPr>
        <w:t xml:space="preserve"> Министерства здравоохранения Российской Федерации от 6 августа 2013 г. N 529н "Об утверждении номенклатуры медицинских организаций" (зарегистрирован Министерством юстиции Российской Федерации 13 сентября 2013 г., регистрационный N 29950).</w:t>
      </w:r>
    </w:p>
    <w:p>
      <w:pPr>
        <w:pStyle w:val="0"/>
        <w:jc w:val="both"/>
      </w:pPr>
      <w:r>
        <w:rPr>
          <w:sz w:val="24"/>
        </w:rPr>
      </w:r>
    </w:p>
    <w:p>
      <w:pPr>
        <w:pStyle w:val="0"/>
        <w:ind w:firstLine="540"/>
        <w:jc w:val="both"/>
      </w:pPr>
      <w:r>
        <w:rPr>
          <w:sz w:val="24"/>
        </w:rPr>
        <w:t xml:space="preserve">Набор дисциплин (модулей), относящихся к вариативной части программы ординатуры, организация определяет самостоятельно в объеме, установленном настоящим ФГОС ВО.</w:t>
      </w:r>
    </w:p>
    <w:p>
      <w:pPr>
        <w:pStyle w:val="0"/>
        <w:spacing w:before="240" w:line-rule="auto"/>
        <w:ind w:firstLine="540"/>
        <w:jc w:val="both"/>
      </w:pPr>
      <w:r>
        <w:rPr>
          <w:sz w:val="24"/>
        </w:rPr>
        <w:t xml:space="preserve">После выбора обучающимся дисциплин (модулей) и практик вариативной части они становятся обязательными для освоения обучающимся.</w:t>
      </w:r>
    </w:p>
    <w:p>
      <w:pPr>
        <w:pStyle w:val="0"/>
        <w:spacing w:before="240" w:line-rule="auto"/>
        <w:ind w:firstLine="540"/>
        <w:jc w:val="both"/>
      </w:pPr>
      <w:r>
        <w:rPr>
          <w:sz w:val="24"/>
        </w:rPr>
        <w:t xml:space="preserve">6.6. В </w:t>
      </w:r>
      <w:hyperlink w:history="0" w:anchor="P141" w:tooltip="Блок 2">
        <w:r>
          <w:rPr>
            <w:sz w:val="24"/>
            <w:color w:val="0000ff"/>
          </w:rPr>
          <w:t xml:space="preserve">Блок 2</w:t>
        </w:r>
      </w:hyperlink>
      <w:r>
        <w:rPr>
          <w:sz w:val="24"/>
        </w:rPr>
        <w:t xml:space="preserve"> "Практики" входит производственная (клиническая) практика.</w:t>
      </w:r>
    </w:p>
    <w:p>
      <w:pPr>
        <w:pStyle w:val="0"/>
        <w:spacing w:before="240" w:line-rule="auto"/>
        <w:ind w:firstLine="540"/>
        <w:jc w:val="both"/>
      </w:pPr>
      <w:r>
        <w:rPr>
          <w:sz w:val="24"/>
        </w:rPr>
        <w:t xml:space="preserve">Способы проведения производственной (клинической) практики:</w:t>
      </w:r>
    </w:p>
    <w:p>
      <w:pPr>
        <w:pStyle w:val="0"/>
        <w:spacing w:before="240" w:line-rule="auto"/>
        <w:ind w:firstLine="540"/>
        <w:jc w:val="both"/>
      </w:pPr>
      <w:r>
        <w:rPr>
          <w:sz w:val="24"/>
        </w:rPr>
        <w:t xml:space="preserve">стационарная;</w:t>
      </w:r>
    </w:p>
    <w:p>
      <w:pPr>
        <w:pStyle w:val="0"/>
        <w:spacing w:before="240" w:line-rule="auto"/>
        <w:ind w:firstLine="540"/>
        <w:jc w:val="both"/>
      </w:pPr>
      <w:r>
        <w:rPr>
          <w:sz w:val="24"/>
        </w:rPr>
        <w:t xml:space="preserve">выездная.</w:t>
      </w:r>
    </w:p>
    <w:p>
      <w:pPr>
        <w:pStyle w:val="0"/>
        <w:spacing w:before="240" w:line-rule="auto"/>
        <w:ind w:firstLine="540"/>
        <w:jc w:val="both"/>
      </w:pPr>
      <w:r>
        <w:rPr>
          <w:sz w:val="24"/>
        </w:rPr>
        <w:t xml:space="preserve">Практики могут проводиться в структурных подразделениях организации.</w:t>
      </w:r>
    </w:p>
    <w:p>
      <w:pPr>
        <w:pStyle w:val="0"/>
        <w:spacing w:before="240" w:line-rule="auto"/>
        <w:ind w:firstLine="540"/>
        <w:jc w:val="both"/>
      </w:pPr>
      <w:r>
        <w:rPr>
          <w:sz w:val="24"/>
        </w:rPr>
        <w:t xml:space="preserve">Для лиц с ограниченными возможностями здоровья выбор мест прохождения практик должен учитывать состояние здоровья и требования по доступности.</w:t>
      </w:r>
    </w:p>
    <w:p>
      <w:pPr>
        <w:pStyle w:val="0"/>
        <w:spacing w:before="240" w:line-rule="auto"/>
        <w:ind w:firstLine="540"/>
        <w:jc w:val="both"/>
      </w:pPr>
      <w:r>
        <w:rPr>
          <w:sz w:val="24"/>
        </w:rPr>
        <w:t xml:space="preserve">6.7. В </w:t>
      </w:r>
      <w:hyperlink w:history="0" w:anchor="P148" w:tooltip="Блок 3">
        <w:r>
          <w:rPr>
            <w:sz w:val="24"/>
            <w:color w:val="0000ff"/>
          </w:rPr>
          <w:t xml:space="preserve">Блок 3</w:t>
        </w:r>
      </w:hyperlink>
      <w:r>
        <w:rPr>
          <w:sz w:val="24"/>
        </w:rPr>
        <w:t xml:space="preserve"> "Государственная итоговая аттестация" входит подготовка к сдаче и сдача государственного экзамена.</w:t>
      </w:r>
    </w:p>
    <w:p>
      <w:pPr>
        <w:pStyle w:val="0"/>
        <w:spacing w:before="240" w:line-rule="auto"/>
        <w:ind w:firstLine="540"/>
        <w:jc w:val="both"/>
      </w:pPr>
      <w:r>
        <w:rPr>
          <w:sz w:val="24"/>
        </w:rPr>
        <w:t xml:space="preserve">6.8. При разработке программы ординатуры обучающимся обеспечивается возможность освоения дисциплин (модулей) по выбору, в том числе освоения специализированных адаптационных дисциплин (модулей) для лиц с ограниченными возможностями здоровья в объеме не менее 30 процентов от объема </w:t>
      </w:r>
      <w:hyperlink w:history="0" w:anchor="P139" w:tooltip="Вариативная часть">
        <w:r>
          <w:rPr>
            <w:sz w:val="24"/>
            <w:color w:val="0000ff"/>
          </w:rPr>
          <w:t xml:space="preserve">вариативной части</w:t>
        </w:r>
      </w:hyperlink>
      <w:r>
        <w:rPr>
          <w:sz w:val="24"/>
        </w:rPr>
        <w:t xml:space="preserve"> Блока 1 "Дисциплины (модули)".</w:t>
      </w:r>
    </w:p>
    <w:p>
      <w:pPr>
        <w:pStyle w:val="0"/>
        <w:spacing w:before="240" w:line-rule="auto"/>
        <w:ind w:firstLine="540"/>
        <w:jc w:val="both"/>
      </w:pPr>
      <w:r>
        <w:rPr>
          <w:sz w:val="24"/>
        </w:rPr>
        <w:t xml:space="preserve">6.9. Количество часов, отведенных на занятия лекционного типа в целом по </w:t>
      </w:r>
      <w:hyperlink w:history="0" w:anchor="P133" w:tooltip="Блок 1">
        <w:r>
          <w:rPr>
            <w:sz w:val="24"/>
            <w:color w:val="0000ff"/>
          </w:rPr>
          <w:t xml:space="preserve">Блоку 1</w:t>
        </w:r>
      </w:hyperlink>
      <w:r>
        <w:rPr>
          <w:sz w:val="24"/>
        </w:rPr>
        <w:t xml:space="preserve"> "Дисциплины (модули)", должно составлять не более 10 процентов от общего количества часов аудиторных занятий, отведенных на реализацию данного Блока.</w:t>
      </w:r>
    </w:p>
    <w:p>
      <w:pPr>
        <w:pStyle w:val="0"/>
        <w:jc w:val="both"/>
      </w:pPr>
      <w:r>
        <w:rPr>
          <w:sz w:val="24"/>
        </w:rPr>
      </w:r>
    </w:p>
    <w:p>
      <w:pPr>
        <w:pStyle w:val="0"/>
        <w:outlineLvl w:val="1"/>
        <w:jc w:val="center"/>
      </w:pPr>
      <w:r>
        <w:rPr>
          <w:sz w:val="24"/>
        </w:rPr>
        <w:t xml:space="preserve">VII. ТРЕБОВАНИЯ К УСЛОВИЯМ РЕАЛИЗАЦИИ ПРОГРАММЫ ОРДИНАТУРЫ</w:t>
      </w:r>
    </w:p>
    <w:p>
      <w:pPr>
        <w:pStyle w:val="0"/>
        <w:jc w:val="both"/>
      </w:pPr>
      <w:r>
        <w:rPr>
          <w:sz w:val="24"/>
        </w:rPr>
      </w:r>
    </w:p>
    <w:p>
      <w:pPr>
        <w:pStyle w:val="0"/>
        <w:outlineLvl w:val="2"/>
        <w:ind w:firstLine="540"/>
        <w:jc w:val="both"/>
      </w:pPr>
      <w:r>
        <w:rPr>
          <w:sz w:val="24"/>
        </w:rPr>
        <w:t xml:space="preserve">7.1. Общесистемные требования к реализации программы ординатуры.</w:t>
      </w:r>
    </w:p>
    <w:p>
      <w:pPr>
        <w:pStyle w:val="0"/>
        <w:spacing w:before="240" w:line-rule="auto"/>
        <w:ind w:firstLine="540"/>
        <w:jc w:val="both"/>
      </w:pPr>
      <w:r>
        <w:rPr>
          <w:sz w:val="24"/>
        </w:rPr>
        <w:t xml:space="preserve">7.1.1. Организация должна располагать материально-технической базой, соответствующей действующим противопожарным правилам и нормам и обеспечивающей проведение всех видов дисциплинарной и междисциплинарной подготовки, практической работы обучающихся, предусмотренной учебным планом.</w:t>
      </w:r>
    </w:p>
    <w:p>
      <w:pPr>
        <w:pStyle w:val="0"/>
        <w:spacing w:before="240" w:line-rule="auto"/>
        <w:ind w:firstLine="540"/>
        <w:jc w:val="both"/>
      </w:pPr>
      <w:r>
        <w:rPr>
          <w:sz w:val="24"/>
        </w:rPr>
        <w:t xml:space="preserve">7.1.2. 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w:t>
      </w:r>
    </w:p>
    <w:p>
      <w:pPr>
        <w:pStyle w:val="0"/>
        <w:spacing w:before="240" w:line-rule="auto"/>
        <w:ind w:firstLine="540"/>
        <w:jc w:val="both"/>
      </w:pPr>
      <w:r>
        <w:rPr>
          <w:sz w:val="24"/>
        </w:rPr>
        <w:t xml:space="preserve">Электронная информационно-образовательная среда организации должна обеспечивать:</w:t>
      </w:r>
    </w:p>
    <w:p>
      <w:pPr>
        <w:pStyle w:val="0"/>
        <w:spacing w:before="240" w:line-rule="auto"/>
        <w:ind w:firstLine="540"/>
        <w:jc w:val="both"/>
      </w:pPr>
      <w:r>
        <w:rPr>
          <w:sz w:val="24"/>
        </w:rPr>
        <w:t xml:space="preserve">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w:t>
      </w:r>
    </w:p>
    <w:p>
      <w:pPr>
        <w:pStyle w:val="0"/>
        <w:spacing w:before="240" w:line-rule="auto"/>
        <w:ind w:firstLine="540"/>
        <w:jc w:val="both"/>
      </w:pPr>
      <w:r>
        <w:rPr>
          <w:sz w:val="24"/>
        </w:rPr>
        <w:t xml:space="preserve">фиксацию хода образовательного процесса, результатов промежуточной аттестации и результатов освоения основной образовательной программы;</w:t>
      </w:r>
    </w:p>
    <w:p>
      <w:pPr>
        <w:pStyle w:val="0"/>
        <w:spacing w:before="240" w:line-rule="auto"/>
        <w:ind w:firstLine="540"/>
        <w:jc w:val="both"/>
      </w:pPr>
      <w:r>
        <w:rPr>
          <w:sz w:val="24"/>
        </w:rPr>
        <w:t xml:space="preserve">проведение всех видов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формирование электронного портфолио обучающегося, в том числе сохранение работ обучающегося, рецензий и оценок на эти работы со стороны любых участников образовательного процесса;</w:t>
      </w:r>
    </w:p>
    <w:p>
      <w:pPr>
        <w:pStyle w:val="0"/>
        <w:spacing w:before="240" w:line-rule="auto"/>
        <w:ind w:firstLine="540"/>
        <w:jc w:val="both"/>
      </w:pPr>
      <w:r>
        <w:rPr>
          <w:sz w:val="24"/>
        </w:rPr>
        <w:t xml:space="preserve">взаимодействие между участниками образовательного процесса, в том числе синхронное и (или) асинхронное взаимодействие посредством сети "Интернет".</w:t>
      </w:r>
    </w:p>
    <w:p>
      <w:pPr>
        <w:pStyle w:val="0"/>
        <w:spacing w:before="240" w:line-rule="auto"/>
        <w:ind w:firstLine="540"/>
        <w:jc w:val="both"/>
      </w:pPr>
      <w:r>
        <w:rPr>
          <w:sz w:val="24"/>
        </w:rPr>
        <w:t xml:space="preserve">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Федеральный </w:t>
      </w:r>
      <w:hyperlink w:history="0" r:id="rId12" w:tooltip="Федеральный закон от 27.07.2006 N 149-ФЗ (ред. от 23.11.2024) &quot;Об информации, информационных технологиях и о защите информации&quot; (с изм. и доп., вступ. в силу с 01.01.2025) {КонсультантПлюс}">
        <w:r>
          <w:rPr>
            <w:sz w:val="24"/>
            <w:color w:val="0000ff"/>
          </w:rPr>
          <w:t xml:space="preserve">закон</w:t>
        </w:r>
      </w:hyperlink>
      <w:r>
        <w:rPr>
          <w:sz w:val="24"/>
        </w:rP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 2012, N 31, ст. 4328; 2013, N 11, ст. 1658; N 23, ст. 2870; N 27, ст. 3479; N 52, ст. 6961, ст. 6963; 2014, N 19, ст. 2302; N 30, ст. 4223, ст. 4243), Федеральный </w:t>
      </w:r>
      <w:hyperlink w:history="0" r:id="rId13" w:tooltip="Федеральный закон от 27.07.2006 N 152-ФЗ (ред. от 08.08.2024) &quot;О персональных данных&quot; {КонсультантПлюс}">
        <w:r>
          <w:rPr>
            <w:sz w:val="24"/>
            <w:color w:val="0000ff"/>
          </w:rPr>
          <w:t xml:space="preserve">закон</w:t>
        </w:r>
      </w:hyperlink>
      <w:r>
        <w:rPr>
          <w:sz w:val="24"/>
        </w:rPr>
        <w:t xml:space="preserve"> от 27 июля 2006 г. N 152-ФЗ "О персональных данных" (Собрание законодательства Российской Федерации, 2006, N 31, ст. 3451; 2009, N 48, ст. 5716; N 52, ст. 6439; 2010, N 27, ст. 3407; N 31, ст. 4173, ст. 4196; N 49, ст. 6409; 2011, N 23, ст. 3263; N 31, ст. 4701; 2013, N 14, ст. 1651; N 30, ст. 4038; N 51, ст. 6683; 2014, N 23, ст. 2927).</w:t>
      </w:r>
    </w:p>
    <w:p>
      <w:pPr>
        <w:pStyle w:val="0"/>
        <w:jc w:val="both"/>
      </w:pPr>
      <w:r>
        <w:rPr>
          <w:sz w:val="24"/>
        </w:rPr>
      </w:r>
    </w:p>
    <w:p>
      <w:pPr>
        <w:pStyle w:val="0"/>
        <w:ind w:firstLine="540"/>
        <w:jc w:val="both"/>
      </w:pPr>
      <w:r>
        <w:rPr>
          <w:sz w:val="24"/>
        </w:rPr>
        <w:t xml:space="preserve">7.1.3. В случае реализации программы ординатуры в сетевой форме требования к реализации программы ординатуры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ординатуры в сетевой форме.</w:t>
      </w:r>
    </w:p>
    <w:p>
      <w:pPr>
        <w:pStyle w:val="0"/>
        <w:spacing w:before="240" w:line-rule="auto"/>
        <w:ind w:firstLine="540"/>
        <w:jc w:val="both"/>
      </w:pPr>
      <w:r>
        <w:rPr>
          <w:sz w:val="24"/>
        </w:rPr>
        <w:t xml:space="preserve">7.1.4. В случае реализации программы ординатуры на созданных в установленном порядке в иных организациях кафедрах или иных структурных подразделениях организации требования к реализации программы ординатуры должны обеспечиваться совокупностью ресурсов указанных организаций.</w:t>
      </w:r>
    </w:p>
    <w:p>
      <w:pPr>
        <w:pStyle w:val="0"/>
        <w:spacing w:before="240" w:line-rule="auto"/>
        <w:ind w:firstLine="540"/>
        <w:jc w:val="both"/>
      </w:pPr>
      <w:r>
        <w:rPr>
          <w:sz w:val="24"/>
        </w:rPr>
        <w:t xml:space="preserve">7.1.5. Квалификация руководящих и научно-педагогических работников организации должна соответствовать квалификационным характеристикам, установленным квалификационными требованиями к медицинским и фармацевтическим работникам, утвержденными Министерством здравоохранения Российской Федерации &lt;1&gt;, и квалификационным характеристикам, установленным в Едином квалификационном справочнике должностей руководителей, специалистов и служащих, </w:t>
      </w:r>
      <w:hyperlink w:history="0" r:id="rId14" w:tooltip="Приказ Минздравсоцразвития России от 11.01.2011 N 1н (ред. от 25.01.2023)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уководителей и специалистов высшего профессионального и дополнительного профессионального образования&quot; (Зарегистрировано в Минюсте России 23.03.2011 N 20237) {КонсультантПлюс}">
        <w:r>
          <w:rPr>
            <w:sz w:val="24"/>
            <w:color w:val="0000ff"/>
          </w:rPr>
          <w:t xml:space="preserve">разделе</w:t>
        </w:r>
      </w:hyperlink>
      <w:r>
        <w:rPr>
          <w:sz w:val="24"/>
        </w:rPr>
        <w:t xml:space="preserve">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N 1н (зарегистрирован Министерством юстиции Российской Федерации 23 марта 2011 г., регистрационный N 20237), и профессиональным стандартам (при наличии).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5"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 ------------ Утратил силу или отменен {КонсультантПлюс}">
        <w:r>
          <w:rPr>
            <w:sz w:val="24"/>
            <w:color w:val="0000ff"/>
          </w:rPr>
          <w:t xml:space="preserve">Приказ</w:t>
        </w:r>
      </w:hyperlink>
      <w:r>
        <w:rPr>
          <w:sz w:val="24"/>
        </w:rPr>
        <w:t xml:space="preserve"> Министерства здравоохранения и социального развития Российской Федерации от 7 июля 2009 г. N 415н "Об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 (зарегистрирован Министерством юстиции Российской Федерации 9 июля 2009 г., регистрационный N 14292) с изменениями, внесенными приказом Министерства здравоохранения и социального развития Российской Федерации от 26 декабря 2011 г. N 1644н "О внесении изменений в квалификационные требования к специалистам с высшим и послевузовским медицинским и фармацевтическим образованием в сфере здравоохранения, утвержденные приказом Министерства здравоохранения и социального развития Российской Федерации от 7 июля 2009 г. N 415н" (зарегистрирован Министерством юстиции Российской Федерации 18 апреля 2012 г., регистрационный N 23879).</w:t>
      </w:r>
    </w:p>
    <w:p>
      <w:pPr>
        <w:pStyle w:val="0"/>
        <w:jc w:val="both"/>
      </w:pPr>
      <w:r>
        <w:rPr>
          <w:sz w:val="24"/>
        </w:rPr>
      </w:r>
    </w:p>
    <w:p>
      <w:pPr>
        <w:pStyle w:val="0"/>
        <w:ind w:firstLine="540"/>
        <w:jc w:val="both"/>
      </w:pPr>
      <w:r>
        <w:rPr>
          <w:sz w:val="24"/>
        </w:rPr>
        <w:t xml:space="preserve">7.1.6. Доля штатных научно-педагогических работников (в приведенных к целочисленным значениям ставок) должна составлять не менее 70 процентов от общего количества научно-педагогических работников организации.</w:t>
      </w:r>
    </w:p>
    <w:p>
      <w:pPr>
        <w:pStyle w:val="0"/>
        <w:jc w:val="both"/>
      </w:pPr>
      <w:r>
        <w:rPr>
          <w:sz w:val="24"/>
        </w:rPr>
      </w:r>
    </w:p>
    <w:p>
      <w:pPr>
        <w:pStyle w:val="0"/>
        <w:outlineLvl w:val="2"/>
        <w:ind w:firstLine="540"/>
        <w:jc w:val="both"/>
      </w:pPr>
      <w:r>
        <w:rPr>
          <w:sz w:val="24"/>
        </w:rPr>
        <w:t xml:space="preserve">7.2. Требования к кадровым условиям реализации программ ординатуры.</w:t>
      </w:r>
    </w:p>
    <w:p>
      <w:pPr>
        <w:pStyle w:val="0"/>
        <w:spacing w:before="240" w:line-rule="auto"/>
        <w:ind w:firstLine="540"/>
        <w:jc w:val="both"/>
      </w:pPr>
      <w:r>
        <w:rPr>
          <w:sz w:val="24"/>
        </w:rPr>
        <w:t xml:space="preserve">7.2.1. Реализация программы ординатуры обеспечивается руководящими и научно-педагогическими работниками организации, а также лицами, привлекаемыми к реализации программы ординатуры на условиях гражданско-правового договора.</w:t>
      </w:r>
    </w:p>
    <w:p>
      <w:pPr>
        <w:pStyle w:val="0"/>
        <w:spacing w:before="240" w:line-rule="auto"/>
        <w:ind w:firstLine="540"/>
        <w:jc w:val="both"/>
      </w:pPr>
      <w:r>
        <w:rPr>
          <w:sz w:val="24"/>
        </w:rPr>
        <w:t xml:space="preserve">7.2.2. Доля научно-педагогических работников (в приведенных к целочисленным значениям ставок), имеющих образование, соответствующее профилю преподаваемой дисциплины (модуля), в общем числе научно-педагогических работников, реализующих программу ординатуры, должна составлять не менее 70 процентов.</w:t>
      </w:r>
    </w:p>
    <w:p>
      <w:pPr>
        <w:pStyle w:val="0"/>
        <w:spacing w:before="240" w:line-rule="auto"/>
        <w:ind w:firstLine="540"/>
        <w:jc w:val="both"/>
      </w:pPr>
      <w:r>
        <w:rPr>
          <w:sz w:val="24"/>
        </w:rPr>
        <w:t xml:space="preserve">7.2.3. Доля научно-педагогических работников (в приведенных к целочисленным значениям ставок), имеющих ученую степень (в том числе ученую степень, присвоенную за рубежом и признаваемую в Российской Федерации) и (или) ученое звание (в том числе ученое звание, полученное за рубежом и признаваемое в Российской Федерации), в общем числе научно-педагогических работников, реализующих программу ординатуры, должна быть не менее 65 процентов.</w:t>
      </w:r>
    </w:p>
    <w:p>
      <w:pPr>
        <w:pStyle w:val="0"/>
        <w:spacing w:before="240" w:line-rule="auto"/>
        <w:ind w:firstLine="540"/>
        <w:jc w:val="both"/>
      </w:pPr>
      <w:r>
        <w:rPr>
          <w:sz w:val="24"/>
        </w:rPr>
        <w:t xml:space="preserve">7.2.4. Доля работников (в приведенных к целочисленным значениям ставок) из числа руководителей и работников организаций, деятельность которых связана с направленностью (спецификой) реализуемой программы ординатуры (имеющих стаж работы в данной профессиональной области не менее 3 лет), в общем числе работников, реализующих программу ординатуры, должна быть не менее 10 процентов.</w:t>
      </w:r>
    </w:p>
    <w:p>
      <w:pPr>
        <w:pStyle w:val="0"/>
        <w:jc w:val="both"/>
      </w:pPr>
      <w:r>
        <w:rPr>
          <w:sz w:val="24"/>
        </w:rPr>
      </w:r>
    </w:p>
    <w:p>
      <w:pPr>
        <w:pStyle w:val="0"/>
        <w:outlineLvl w:val="2"/>
        <w:ind w:firstLine="540"/>
        <w:jc w:val="both"/>
      </w:pPr>
      <w:r>
        <w:rPr>
          <w:sz w:val="24"/>
        </w:rPr>
        <w:t xml:space="preserve">7.3. Требования к материально-техническому и учебно-методическому обеспечению программы ординатуры.</w:t>
      </w:r>
    </w:p>
    <w:p>
      <w:pPr>
        <w:pStyle w:val="0"/>
        <w:spacing w:before="240" w:line-rule="auto"/>
        <w:ind w:firstLine="540"/>
        <w:jc w:val="both"/>
      </w:pPr>
      <w:r>
        <w:rPr>
          <w:sz w:val="24"/>
        </w:rPr>
        <w:t xml:space="preserve">7.3.1. Минимально необходимый для реализации программы ординатуры перечень материально-технического обеспечения включает в себя специально оборудованные помещения для проведения учебных занятий, в том числе:</w:t>
      </w:r>
    </w:p>
    <w:p>
      <w:pPr>
        <w:pStyle w:val="0"/>
        <w:spacing w:before="240" w:line-rule="auto"/>
        <w:ind w:firstLine="540"/>
        <w:jc w:val="both"/>
      </w:pPr>
      <w:r>
        <w:rPr>
          <w:sz w:val="24"/>
        </w:rPr>
        <w:t xml:space="preserve">аудитории, оборудованные мультимедийными и иными средствами обучения, позволяющими использовать симуляционные технологии, с типовыми наборами профессиональных моделей результатов лабораторных и инструментальных исследований в количестве, позволяющем обучающимся осваивать умения и навыки, предусмотренные профессиональной деятельностью, индивидуально;</w:t>
      </w:r>
    </w:p>
    <w:p>
      <w:pPr>
        <w:pStyle w:val="0"/>
        <w:spacing w:before="240" w:line-rule="auto"/>
        <w:ind w:firstLine="540"/>
        <w:jc w:val="both"/>
      </w:pPr>
      <w:r>
        <w:rPr>
          <w:sz w:val="24"/>
        </w:rPr>
        <w:t xml:space="preserve">лаборатории, оснащенные специализированным оборудованием (микроскоп, термостат, автоклав, набор химической посуды, массоизмерительное оборудование, гомогенизатор, центрифуга, сушильный шкаф, ареометр, бокс-штатив, груша резиновая, деионизатор, диспенсор, дистиллятор, дозатор с наконечниками, колориметр, pH-метр, ламинарный бокс, мерная пипетка, морозильник, пипетка Пастеровская, планшет для микротитрования, питательные среды, необходимые для культивирования микроорганизмов, принадлежность для забора биоматериала и смывов с поверхности, пробоотборник, спектрофотометр, титратор, фотоэлектроколориметр, холодильник, чашка Петри, шейкер, шпатель и петля микробиологические) и расходным материалом в количестве, позволяющем обучающимся осваивать умения и навыки, предусмотренные профессиональной деятельностью, индивидуально, а также иное оборудование, необходимое для реализации программы ординатуры.</w:t>
      </w:r>
    </w:p>
    <w:p>
      <w:pPr>
        <w:pStyle w:val="0"/>
        <w:spacing w:before="240" w:line-rule="auto"/>
        <w:ind w:firstLine="540"/>
        <w:jc w:val="both"/>
      </w:pPr>
      <w:r>
        <w:rPr>
          <w:sz w:val="24"/>
        </w:rPr>
        <w:t xml:space="preserve">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pPr>
        <w:pStyle w:val="0"/>
        <w:spacing w:before="240" w:line-rule="auto"/>
        <w:ind w:firstLine="540"/>
        <w:jc w:val="both"/>
      </w:pPr>
      <w:r>
        <w:rPr>
          <w:sz w:val="24"/>
        </w:rPr>
        <w:t xml:space="preserve">В случае применения электронного обучения, дистанционных образовательных технологий допускается замена специально оборудованных помещений их виртуальными аналогами, позволяющими обучающимся осваивать умения и навыки, предусмотренные профессиональной деятельностью.</w:t>
      </w:r>
    </w:p>
    <w:p>
      <w:pPr>
        <w:pStyle w:val="0"/>
        <w:spacing w:before="240" w:line-rule="auto"/>
        <w:ind w:firstLine="540"/>
        <w:jc w:val="both"/>
      </w:pPr>
      <w:r>
        <w:rPr>
          <w:sz w:val="24"/>
        </w:rPr>
        <w:t xml:space="preserve">В случае неиспользования в организации электронно-библиотечной системы (электронной библиотеки) библиотечный фонд должен быть укомплектован печатными изданиями из расчета не менее 50 экземпляров каждого из изданий основной литературы, перечисленной в рабочих программах дисциплин (модулей), практик и не менее 25 экземпляров дополнительной литературы на 100 обучающихся.</w:t>
      </w:r>
    </w:p>
    <w:p>
      <w:pPr>
        <w:pStyle w:val="0"/>
        <w:spacing w:before="240" w:line-rule="auto"/>
        <w:ind w:firstLine="540"/>
        <w:jc w:val="both"/>
      </w:pPr>
      <w:r>
        <w:rPr>
          <w:sz w:val="24"/>
        </w:rPr>
        <w:t xml:space="preserve">7.3.2. Организация должна быть обеспечена необходимым комплектом лицензионного программного обеспечения (состав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7.3.3. Электронно-библиотечные системы (электронная библиотека) и электронная информационно-образовательная среда должны обеспечивать одновременный доступ не менее 25 процентов обучающихся по программе ординатуры.</w:t>
      </w:r>
    </w:p>
    <w:p>
      <w:pPr>
        <w:pStyle w:val="0"/>
        <w:spacing w:before="240" w:line-rule="auto"/>
        <w:ind w:firstLine="540"/>
        <w:jc w:val="both"/>
      </w:pPr>
      <w:r>
        <w:rPr>
          <w:sz w:val="24"/>
        </w:rPr>
        <w:t xml:space="preserve">7.3.4.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7.3.5. Обучающиеся из числа лиц с ограниченными возможностями здоровья должны быть обеспечены печатными и (или) электронными образовательными ресурсами в формах, адаптированных к ограничениям их здоровья.</w:t>
      </w:r>
    </w:p>
    <w:p>
      <w:pPr>
        <w:pStyle w:val="0"/>
        <w:jc w:val="both"/>
      </w:pPr>
      <w:r>
        <w:rPr>
          <w:sz w:val="24"/>
        </w:rPr>
      </w:r>
    </w:p>
    <w:p>
      <w:pPr>
        <w:pStyle w:val="0"/>
        <w:outlineLvl w:val="2"/>
        <w:ind w:firstLine="540"/>
        <w:jc w:val="both"/>
      </w:pPr>
      <w:r>
        <w:rPr>
          <w:sz w:val="24"/>
        </w:rPr>
        <w:t xml:space="preserve">7.4. Требования к финансовым условиям реализации программы ординатуры.</w:t>
      </w:r>
    </w:p>
    <w:p>
      <w:pPr>
        <w:pStyle w:val="0"/>
        <w:spacing w:before="240" w:line-rule="auto"/>
        <w:ind w:firstLine="540"/>
        <w:jc w:val="both"/>
      </w:pPr>
      <w:r>
        <w:rPr>
          <w:sz w:val="24"/>
        </w:rPr>
        <w:t xml:space="preserve">7.4.1. Финансовое обеспечение реализации программы ординатуры должно осуществляться в объеме не ниже установленных Министерством образования и науки Российской Федерации базовых нормативных затрат на оказание государственной услуги в сфере образования для данного уровня образования и специальности с учетом корректирующих коэффициентов, учитывающих специфику образовательных программ в соответствии с </w:t>
      </w:r>
      <w:hyperlink w:history="0" r:id="rId16" w:tooltip="Приказ Минобрнауки России от 02.08.2013 N 638 &quot;Об утверждении методики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quot; (Зарегистрировано в Минюсте России 16.09.2013 N 29967) ------------ Утратил силу или отменен {КонсультантПлюс}">
        <w:r>
          <w:rPr>
            <w:sz w:val="24"/>
            <w:color w:val="0000ff"/>
          </w:rPr>
          <w:t xml:space="preserve">Методикой</w:t>
        </w:r>
      </w:hyperlink>
      <w:r>
        <w:rPr>
          <w:sz w:val="24"/>
        </w:rPr>
        <w:t xml:space="preserve">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 утвержденной приказом Министерства образования и науки Российской Федерации от 2 августа 2013 г. N 638 (зарегистрирован Министерством юстиции Российской Федерации 16 сентября 2013 г., регистрационный N 29967).</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27.08.2014 N 1141</w:t>
            <w:br/>
            <w:t>"Об утверждении федерального государственного образовательного стандарта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28.04.2025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87618&amp;date=28.04.2025&amp;dst=100042&amp;field=134" TargetMode = "External"/>
	<Relationship Id="rId8" Type="http://schemas.openxmlformats.org/officeDocument/2006/relationships/hyperlink" Target="https://login.consultant.ru/link/?req=doc&amp;base=LAW&amp;n=154176&amp;date=28.04.2025&amp;dst=100009&amp;field=134" TargetMode = "External"/>
	<Relationship Id="rId9" Type="http://schemas.openxmlformats.org/officeDocument/2006/relationships/hyperlink" Target="https://login.consultant.ru/link/?req=doc&amp;base=LAW&amp;n=495182&amp;date=28.04.2025&amp;dst=101099&amp;field=134" TargetMode = "External"/>
	<Relationship Id="rId10" Type="http://schemas.openxmlformats.org/officeDocument/2006/relationships/hyperlink" Target="https://login.consultant.ru/link/?req=doc&amp;base=LAW&amp;n=495182&amp;date=28.04.2025&amp;dst=101100&amp;field=134" TargetMode = "External"/>
	<Relationship Id="rId11" Type="http://schemas.openxmlformats.org/officeDocument/2006/relationships/hyperlink" Target="https://login.consultant.ru/link/?req=doc&amp;base=LAW&amp;n=348537&amp;date=28.04.2025" TargetMode = "External"/>
	<Relationship Id="rId12" Type="http://schemas.openxmlformats.org/officeDocument/2006/relationships/hyperlink" Target="https://login.consultant.ru/link/?req=doc&amp;base=LAW&amp;n=483355&amp;date=28.04.2025" TargetMode = "External"/>
	<Relationship Id="rId13" Type="http://schemas.openxmlformats.org/officeDocument/2006/relationships/hyperlink" Target="https://login.consultant.ru/link/?req=doc&amp;base=LAW&amp;n=482686&amp;date=28.04.2025" TargetMode = "External"/>
	<Relationship Id="rId14" Type="http://schemas.openxmlformats.org/officeDocument/2006/relationships/hyperlink" Target="https://login.consultant.ru/link/?req=doc&amp;base=LAW&amp;n=440481&amp;date=28.04.2025&amp;dst=100010&amp;field=134" TargetMode = "External"/>
	<Relationship Id="rId15" Type="http://schemas.openxmlformats.org/officeDocument/2006/relationships/hyperlink" Target="https://login.consultant.ru/link/?req=doc&amp;base=LAW&amp;n=128754&amp;date=28.04.2025" TargetMode = "External"/>
	<Relationship Id="rId16" Type="http://schemas.openxmlformats.org/officeDocument/2006/relationships/hyperlink" Target="https://login.consultant.ru/link/?req=doc&amp;base=LAW&amp;n=152100&amp;date=28.04.2025&amp;dst=100012&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27.08.2014 N 1141
"Об утверждении федерального государственного образовательного стандарта высшего образования по специальности 32.08.14 Бактериология (уровень подготовки кадров высшей квалификации)"
(Зарегистрировано в Минюсте России 28.10.2014 N 34493)</dc:title>
  <dcterms:created xsi:type="dcterms:W3CDTF">2025-04-28T05:45:58Z</dcterms:created>
</cp:coreProperties>
</file>